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31E1" w14:textId="77F01980" w:rsidR="00660BC2" w:rsidRDefault="00660BC2"/>
    <w:p w14:paraId="5A6A96EC" w14:textId="77777777" w:rsidR="00F31115" w:rsidRDefault="00F31115" w:rsidP="00F31115">
      <w:pPr>
        <w:jc w:val="center"/>
        <w:rPr>
          <w:rFonts w:ascii="Arial" w:hAnsi="Arial" w:cs="Arial"/>
          <w:sz w:val="48"/>
          <w:szCs w:val="48"/>
        </w:rPr>
      </w:pPr>
    </w:p>
    <w:p w14:paraId="3C38DA55" w14:textId="77777777" w:rsidR="00F31115" w:rsidRDefault="00F31115" w:rsidP="00F31115">
      <w:pPr>
        <w:jc w:val="center"/>
        <w:rPr>
          <w:rFonts w:ascii="Arial" w:hAnsi="Arial" w:cs="Arial"/>
          <w:sz w:val="48"/>
          <w:szCs w:val="48"/>
        </w:rPr>
      </w:pPr>
    </w:p>
    <w:p w14:paraId="29A3DD8C" w14:textId="6A836563" w:rsidR="00F31115" w:rsidRPr="00DC0528" w:rsidRDefault="00F31115" w:rsidP="00F3111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Gap Analysis – Current </w:t>
      </w:r>
      <w:r w:rsidR="007C27B4">
        <w:rPr>
          <w:rFonts w:ascii="Arial" w:hAnsi="Arial" w:cs="Arial"/>
          <w:sz w:val="48"/>
          <w:szCs w:val="48"/>
        </w:rPr>
        <w:t>[</w:t>
      </w:r>
      <w:r w:rsidR="007C27B4" w:rsidRPr="007C27B4">
        <w:rPr>
          <w:rFonts w:ascii="Arial" w:hAnsi="Arial" w:cs="Arial"/>
          <w:i/>
          <w:sz w:val="48"/>
          <w:szCs w:val="48"/>
        </w:rPr>
        <w:t>Enter Company Name</w:t>
      </w:r>
      <w:r w:rsidR="007C27B4">
        <w:rPr>
          <w:rFonts w:ascii="Arial" w:hAnsi="Arial" w:cs="Arial"/>
          <w:sz w:val="48"/>
          <w:szCs w:val="48"/>
        </w:rPr>
        <w:t>]</w:t>
      </w:r>
      <w:r>
        <w:rPr>
          <w:rFonts w:ascii="Arial" w:hAnsi="Arial" w:cs="Arial"/>
          <w:sz w:val="48"/>
          <w:szCs w:val="48"/>
        </w:rPr>
        <w:t xml:space="preserve"> Safety Management Processes against ISO 45001:2018</w:t>
      </w:r>
    </w:p>
    <w:p w14:paraId="0E770833" w14:textId="77777777" w:rsidR="00F31115" w:rsidRPr="00DC0528" w:rsidRDefault="00F31115" w:rsidP="00F31115">
      <w:pPr>
        <w:jc w:val="center"/>
        <w:rPr>
          <w:rFonts w:ascii="Arial" w:hAnsi="Arial" w:cs="Arial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5"/>
        <w:gridCol w:w="281"/>
        <w:gridCol w:w="5824"/>
      </w:tblGrid>
      <w:tr w:rsidR="00F31115" w:rsidRPr="00DC0528" w14:paraId="3818DA19" w14:textId="77777777" w:rsidTr="00F31115">
        <w:tc>
          <w:tcPr>
            <w:tcW w:w="2235" w:type="dxa"/>
            <w:shd w:val="clear" w:color="auto" w:fill="E54C01"/>
            <w:vAlign w:val="center"/>
          </w:tcPr>
          <w:p w14:paraId="078232D2" w14:textId="77777777" w:rsidR="00F31115" w:rsidRPr="00DC0528" w:rsidRDefault="00F31115" w:rsidP="00F31115">
            <w:pPr>
              <w:ind w:left="720" w:hanging="720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  <w:p w14:paraId="28E44ECC" w14:textId="082777AE" w:rsidR="00F31115" w:rsidRPr="00DC0528" w:rsidRDefault="007C27B4" w:rsidP="00F31115">
            <w:pPr>
              <w:ind w:left="720" w:hanging="720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Date</w:t>
            </w:r>
          </w:p>
          <w:p w14:paraId="59AFBDE7" w14:textId="77777777" w:rsidR="00F31115" w:rsidRPr="00DC0528" w:rsidRDefault="00F31115" w:rsidP="00F31115">
            <w:pPr>
              <w:ind w:left="720" w:hanging="720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46151FEF" w14:textId="77777777" w:rsidR="00F31115" w:rsidRPr="00DC0528" w:rsidRDefault="00F31115" w:rsidP="00F3111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98" w:type="dxa"/>
            <w:shd w:val="clear" w:color="auto" w:fill="000000"/>
            <w:vAlign w:val="center"/>
          </w:tcPr>
          <w:p w14:paraId="3376E592" w14:textId="77777777" w:rsidR="00F31115" w:rsidRPr="00DC0528" w:rsidRDefault="00F31115" w:rsidP="00F31115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  <w:p w14:paraId="29CCFD29" w14:textId="77777777" w:rsidR="00F31115" w:rsidRPr="00DC0528" w:rsidRDefault="00F31115" w:rsidP="007C27B4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</w:p>
        </w:tc>
      </w:tr>
    </w:tbl>
    <w:p w14:paraId="2C73C082" w14:textId="77777777" w:rsidR="00F31115" w:rsidRPr="006C30EB" w:rsidRDefault="00F31115" w:rsidP="00F31115">
      <w:pPr>
        <w:jc w:val="center"/>
        <w:rPr>
          <w:rFonts w:ascii="Calibri" w:hAnsi="Calibri"/>
          <w:sz w:val="48"/>
          <w:szCs w:val="48"/>
        </w:rPr>
        <w:sectPr w:rsidR="00F31115" w:rsidRPr="006C30EB" w:rsidSect="00F31115">
          <w:headerReference w:type="default" r:id="rId8"/>
          <w:footerReference w:type="even" r:id="rId9"/>
          <w:footerReference w:type="default" r:id="rId10"/>
          <w:pgSz w:w="11900" w:h="16840"/>
          <w:pgMar w:top="2233" w:right="1800" w:bottom="1440" w:left="1800" w:header="0" w:footer="291" w:gutter="0"/>
          <w:cols w:space="708"/>
          <w:titlePg/>
          <w:docGrid w:linePitch="360"/>
        </w:sectPr>
      </w:pPr>
    </w:p>
    <w:p w14:paraId="1ACB5764" w14:textId="3EC4575C" w:rsidR="00030DCF" w:rsidRDefault="00A64BBB" w:rsidP="00261E8E">
      <w:pPr>
        <w:pStyle w:val="Heading1"/>
      </w:pPr>
      <w:r>
        <w:lastRenderedPageBreak/>
        <w:t xml:space="preserve">Section 1 - </w:t>
      </w:r>
      <w:r w:rsidR="00030DCF" w:rsidRPr="00B87121">
        <w:t>Summary:</w:t>
      </w:r>
      <w:r w:rsidR="00030DCF" w:rsidRPr="00B87121">
        <w:br/>
      </w:r>
    </w:p>
    <w:p w14:paraId="010BEE5A" w14:textId="07B2FDB1" w:rsidR="0044061E" w:rsidRDefault="005613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 of areas of compliance</w:t>
      </w:r>
      <w:r w:rsidR="00C30DCA">
        <w:rPr>
          <w:rFonts w:asciiTheme="minorHAnsi" w:hAnsiTheme="minorHAnsi" w:cstheme="minorHAnsi"/>
        </w:rPr>
        <w:t>:</w:t>
      </w:r>
    </w:p>
    <w:p w14:paraId="78BB2B2A" w14:textId="3F73EF7B" w:rsidR="0056135E" w:rsidRDefault="0056135E">
      <w:pPr>
        <w:rPr>
          <w:rFonts w:asciiTheme="minorHAnsi" w:hAnsiTheme="minorHAnsi" w:cstheme="minorHAnsi"/>
        </w:rPr>
      </w:pPr>
    </w:p>
    <w:p w14:paraId="5DB71A06" w14:textId="546E37F0" w:rsidR="0056135E" w:rsidRDefault="0056135E">
      <w:pPr>
        <w:rPr>
          <w:rFonts w:asciiTheme="minorHAnsi" w:hAnsiTheme="minorHAnsi" w:cstheme="minorHAnsi"/>
        </w:rPr>
      </w:pPr>
    </w:p>
    <w:p w14:paraId="2364D146" w14:textId="3EBC360F" w:rsidR="0056135E" w:rsidRDefault="005613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 of key areas requiring further work:</w:t>
      </w:r>
    </w:p>
    <w:p w14:paraId="4B0D7C8D" w14:textId="77777777" w:rsidR="0056135E" w:rsidRPr="0056135E" w:rsidRDefault="0056135E" w:rsidP="0056135E">
      <w:pPr>
        <w:rPr>
          <w:rFonts w:asciiTheme="minorHAnsi" w:hAnsiTheme="minorHAnsi" w:cstheme="minorHAnsi"/>
        </w:rPr>
      </w:pPr>
    </w:p>
    <w:p w14:paraId="2404FC44" w14:textId="048F0243" w:rsidR="00030DCF" w:rsidRDefault="00030DCF"/>
    <w:p w14:paraId="57E677F5" w14:textId="6BF5704F" w:rsidR="00261E8E" w:rsidRPr="00261E8E" w:rsidRDefault="00261E8E" w:rsidP="00261E8E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BF8F079" w14:textId="77FD9B16" w:rsidR="00E332A0" w:rsidRPr="00E332A0" w:rsidRDefault="00C30DCA" w:rsidP="00E332A0">
      <w:pPr>
        <w:rPr>
          <w:rFonts w:asciiTheme="minorHAnsi" w:hAnsiTheme="minorHAnsi" w:cstheme="minorHAnsi"/>
        </w:rPr>
        <w:sectPr w:rsidR="00E332A0" w:rsidRPr="00E332A0" w:rsidSect="00030DCF">
          <w:pgSz w:w="12240" w:h="20160" w:code="5"/>
          <w:pgMar w:top="1440" w:right="656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7339247" wp14:editId="707FA54D">
            <wp:extent cx="4645419" cy="4591839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6 at 11.35.18 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20" cy="460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F4593" w14:textId="452D18CD" w:rsidR="00030DCF" w:rsidRPr="00A64BBB" w:rsidRDefault="00A64BBB" w:rsidP="00261E8E">
      <w:pPr>
        <w:pStyle w:val="Heading1"/>
      </w:pPr>
      <w:r w:rsidRPr="00A64BBB">
        <w:lastRenderedPageBreak/>
        <w:t>Section 2 – Gap Analysis Against ISO 45001</w:t>
      </w:r>
    </w:p>
    <w:tbl>
      <w:tblPr>
        <w:tblW w:w="18853" w:type="dxa"/>
        <w:tblInd w:w="-572" w:type="dxa"/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851"/>
        <w:gridCol w:w="7513"/>
        <w:gridCol w:w="5386"/>
        <w:gridCol w:w="5103"/>
      </w:tblGrid>
      <w:tr w:rsidR="0092323F" w:rsidRPr="00BF0AC2" w14:paraId="5ADC2E2A" w14:textId="77777777" w:rsidTr="0092323F">
        <w:trPr>
          <w:cantSplit/>
          <w:trHeight w:hRule="exact" w:val="295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</w:tcPr>
          <w:p w14:paraId="43CD5D00" w14:textId="77777777" w:rsidR="0092323F" w:rsidRPr="00BF0AC2" w:rsidRDefault="0092323F" w:rsidP="006B6C67">
            <w:pPr>
              <w:pStyle w:val="TableParagraph"/>
              <w:ind w:left="108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BF0AC2">
              <w:rPr>
                <w:rFonts w:cstheme="minorHAnsi"/>
                <w:b/>
                <w:color w:val="FFFFFF"/>
                <w:sz w:val="24"/>
                <w:szCs w:val="24"/>
              </w:rPr>
              <w:t>Clause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</w:tcPr>
          <w:p w14:paraId="38759401" w14:textId="77777777" w:rsidR="0092323F" w:rsidRPr="00BF0AC2" w:rsidRDefault="0092323F" w:rsidP="006B6C67">
            <w:pPr>
              <w:pStyle w:val="TableParagraph"/>
              <w:ind w:left="108" w:right="5097"/>
              <w:rPr>
                <w:rFonts w:eastAsia="Calibri" w:cstheme="minorHAnsi"/>
                <w:sz w:val="24"/>
                <w:szCs w:val="24"/>
              </w:rPr>
            </w:pPr>
            <w:r w:rsidRPr="00BF0AC2">
              <w:rPr>
                <w:rFonts w:cstheme="minorHAnsi"/>
                <w:b/>
                <w:color w:val="FFFFFF"/>
                <w:sz w:val="24"/>
                <w:szCs w:val="24"/>
              </w:rPr>
              <w:t>Audit Checklist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</w:tcPr>
          <w:p w14:paraId="11BBBD63" w14:textId="77777777" w:rsidR="0092323F" w:rsidRPr="00BF0AC2" w:rsidRDefault="0092323F" w:rsidP="006B6C67">
            <w:pPr>
              <w:pStyle w:val="TableParagraph"/>
              <w:rPr>
                <w:b/>
                <w:sz w:val="24"/>
                <w:szCs w:val="24"/>
              </w:rPr>
            </w:pPr>
            <w:r w:rsidRPr="00BF0AC2">
              <w:rPr>
                <w:b/>
                <w:sz w:val="24"/>
                <w:szCs w:val="24"/>
              </w:rPr>
              <w:t>Document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</w:tcPr>
          <w:p w14:paraId="6A5D3C54" w14:textId="2937EB96" w:rsidR="0092323F" w:rsidRPr="00BF0AC2" w:rsidRDefault="0092323F" w:rsidP="006B6C67">
            <w:pPr>
              <w:pStyle w:val="TableParagraph"/>
              <w:rPr>
                <w:b/>
                <w:sz w:val="24"/>
                <w:szCs w:val="24"/>
              </w:rPr>
            </w:pPr>
            <w:r w:rsidRPr="00BF0AC2">
              <w:rPr>
                <w:b/>
                <w:sz w:val="24"/>
                <w:szCs w:val="24"/>
              </w:rPr>
              <w:t>Records/ Evidence</w:t>
            </w:r>
            <w:r>
              <w:rPr>
                <w:b/>
                <w:sz w:val="24"/>
                <w:szCs w:val="24"/>
              </w:rPr>
              <w:t>/ Output</w:t>
            </w:r>
          </w:p>
        </w:tc>
      </w:tr>
      <w:tr w:rsidR="0034442C" w:rsidRPr="00BF0AC2" w14:paraId="31DB5DBC" w14:textId="77777777" w:rsidTr="0034442C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6814E" w14:textId="51A415FD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t>Section 4 – Context of the Organisation</w:t>
            </w:r>
          </w:p>
        </w:tc>
      </w:tr>
      <w:tr w:rsidR="0056135E" w:rsidRPr="00BF0AC2" w14:paraId="13158C71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F9A" w14:textId="680054F8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9677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Have you determined the external and internal issues that are relevant to your organization’s purpose and the achievement of customer satisfaction and the organization’s strategic direction? </w:t>
            </w:r>
          </w:p>
          <w:p w14:paraId="0D311BA7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632E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E168A52" w14:textId="35F942AB" w:rsidR="0056135E" w:rsidRPr="0056135E" w:rsidRDefault="0056135E" w:rsidP="0056135E">
            <w:pPr>
              <w:pStyle w:val="ListParagraph"/>
              <w:numPr>
                <w:ilvl w:val="0"/>
                <w:numId w:val="18"/>
              </w:numPr>
              <w:ind w:left="136" w:hanging="136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6135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e.g. Internal and external issues identified in Business Risk Register.</w:t>
            </w:r>
          </w:p>
          <w:p w14:paraId="367F5EAE" w14:textId="09F24F26" w:rsidR="0056135E" w:rsidRPr="0056135E" w:rsidRDefault="0056135E" w:rsidP="0056135E">
            <w:pPr>
              <w:pStyle w:val="ListParagraph"/>
              <w:numPr>
                <w:ilvl w:val="0"/>
                <w:numId w:val="18"/>
              </w:numPr>
              <w:ind w:left="136" w:hanging="136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6135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Reviewed quarterly in management meeting</w:t>
            </w:r>
          </w:p>
          <w:p w14:paraId="61C51E84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FFE816D" w14:textId="349F7378" w:rsidR="0056135E" w:rsidRPr="0056135E" w:rsidRDefault="0056135E" w:rsidP="0056135E">
            <w:pPr>
              <w:pStyle w:val="TableParagraph"/>
              <w:numPr>
                <w:ilvl w:val="0"/>
                <w:numId w:val="19"/>
              </w:numPr>
              <w:ind w:left="136" w:hanging="136"/>
              <w:rPr>
                <w:rFonts w:cstheme="minorHAnsi"/>
                <w:i/>
                <w:sz w:val="20"/>
                <w:szCs w:val="20"/>
              </w:rPr>
            </w:pPr>
            <w:r w:rsidRPr="0056135E">
              <w:rPr>
                <w:rFonts w:cstheme="minorHAnsi"/>
                <w:i/>
                <w:sz w:val="20"/>
                <w:szCs w:val="20"/>
              </w:rPr>
              <w:t>Issues requiring further action could be more clearly identified.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86AB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00ABCF2" w14:textId="22746219" w:rsidR="0056135E" w:rsidRPr="0056135E" w:rsidRDefault="0056135E" w:rsidP="0056135E">
            <w:pPr>
              <w:pStyle w:val="ListParagraph"/>
              <w:numPr>
                <w:ilvl w:val="0"/>
                <w:numId w:val="18"/>
              </w:numPr>
              <w:ind w:left="136" w:hanging="136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e.g. </w:t>
            </w:r>
            <w:r w:rsidRPr="0056135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Business Risk Register.</w:t>
            </w:r>
          </w:p>
          <w:p w14:paraId="7AAB2A5B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384D5E7" w14:textId="78C29B9E" w:rsidR="0056135E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4E3279" w14:textId="3B987101" w:rsidR="0056135E" w:rsidRPr="0056135E" w:rsidRDefault="0056135E" w:rsidP="0056135E">
            <w:pPr>
              <w:pStyle w:val="ListParagraph"/>
              <w:numPr>
                <w:ilvl w:val="0"/>
                <w:numId w:val="18"/>
              </w:numPr>
              <w:ind w:left="136" w:hanging="136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Add actions, responsibilities and timeframes column to Business Risk Register</w:t>
            </w:r>
          </w:p>
          <w:p w14:paraId="5CD8FC2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B80F6F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06B0A854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021" w14:textId="60E0A548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66C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Do you have a way of reviewing and monitoring these on a regular basis?</w:t>
            </w:r>
          </w:p>
          <w:p w14:paraId="5FF3509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AFB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3EA2728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8ECF74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4677917" w14:textId="636AFB42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5A01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801BD11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5BF13D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09D1EBA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4386DA61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1E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CE5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Have you determined the needs and expectations of interested parties that are relevant to the Management System (IMS)?</w:t>
            </w:r>
          </w:p>
          <w:p w14:paraId="61FC2CF3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839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C17076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832348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255455D" w14:textId="2ED5CF7C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B1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C9BECF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DDF1F5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C52C785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24B6CAD9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73E5" w14:textId="4E0F889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802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Do you have a way of reviewing and monitoring these on a regular basis?</w:t>
            </w:r>
          </w:p>
          <w:p w14:paraId="1B35E22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F7E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7E9179A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3B56DF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D3189FE" w14:textId="45DF9355" w:rsidR="0056135E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8062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3C9DB2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1E895A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087CC55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19516793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9D0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4. 3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A43B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the scope of the IMS been determined taking into account the external and internal issues, interested parties and your products and services?</w:t>
            </w:r>
          </w:p>
          <w:p w14:paraId="298135FD" w14:textId="77777777" w:rsidR="0056135E" w:rsidRPr="00BF0AC2" w:rsidRDefault="0056135E" w:rsidP="0056135E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032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F184D6F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25F6B0C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D00FA7C" w14:textId="45D6E4D4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8F64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17BB59D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1F30A0C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9963D25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1115DBC0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2DE5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8C92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your IMS been established including the processes needed and their sequence and interaction?</w:t>
            </w:r>
          </w:p>
          <w:p w14:paraId="2E6DA9D6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F634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37E1E9B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868E193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01946B1" w14:textId="2DD21F06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7FE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711569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F330BD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4B9C6E0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5380E223" w14:textId="77777777" w:rsidTr="0056135E">
        <w:trPr>
          <w:trHeight w:val="11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EA3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7B4D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Have the criteria for managing these been established together with responsibilities, methods, measurements and related performance indicators needed to ensure the effective operation and control?</w:t>
            </w:r>
          </w:p>
          <w:p w14:paraId="227AE269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D5E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BECCC47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665A6D1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F4C9AC7" w14:textId="254FB8A3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96D7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85073C5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176393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8DAACD2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34442C" w:rsidRPr="00BF0AC2" w14:paraId="2A86CFEC" w14:textId="77777777" w:rsidTr="00F31115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2D4A42" w14:textId="71B13F6D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b/>
                <w:sz w:val="24"/>
                <w:szCs w:val="24"/>
              </w:rPr>
              <w:t>Leadership</w:t>
            </w:r>
          </w:p>
        </w:tc>
      </w:tr>
      <w:tr w:rsidR="0056135E" w:rsidRPr="00BF0AC2" w14:paraId="57A2B3A1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C24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37FE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Has top management taken accountability for the effectiveness of the IMS (environment, quality and safety)? </w:t>
            </w:r>
          </w:p>
          <w:p w14:paraId="55B1C8F0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6B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B45FA48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9F8F0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0768BD6" w14:textId="2E31CD02" w:rsidR="0056135E" w:rsidRPr="00BF0AC2" w:rsidRDefault="0056135E" w:rsidP="0056135E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9E1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7449C92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E37654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EDF52C0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56135E" w:rsidRPr="00BF0AC2" w14:paraId="6E9CD83F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1809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E00" w14:textId="2D25503B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the OHS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 Polic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 documented, authorized, communicated and made available to interested parties?</w:t>
            </w:r>
          </w:p>
          <w:p w14:paraId="3BB5F0B3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210C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E74BD6D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F93BFF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DDFCFAE" w14:textId="73BDF244" w:rsidR="0056135E" w:rsidRPr="00BF0AC2" w:rsidRDefault="0056135E" w:rsidP="0056135E">
            <w:pPr>
              <w:ind w:left="136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1CA6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752EA91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2FD837C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E2F1916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7704ADB7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E100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713" w14:textId="6427EC73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Have the requirements for the IMS been integrated into the business processes and have management promoted awareness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systems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 approach?</w:t>
            </w:r>
          </w:p>
          <w:p w14:paraId="3338BE9D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3C6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4E919A9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D8A1D1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2F5550B" w14:textId="48EADB0C" w:rsidR="0056135E" w:rsidRPr="00BF0AC2" w:rsidRDefault="0056135E" w:rsidP="0056135E">
            <w:pPr>
              <w:pStyle w:val="TableParagraph"/>
              <w:ind w:left="13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99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89FB038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138023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8CC4FD4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1DE10A0D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1C1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EB8" w14:textId="2F281B2B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Have the risks and opportunities that are relevant to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MS been established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(i.e. opportunities to facilitate improved OHS performance or threats to OHS performance)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7E784F3A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78A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3C1394E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6C04CCF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88463F9" w14:textId="440C20A3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9B7B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B0CA84E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FA1A47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9FC23B2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00BD4601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4892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55F" w14:textId="25B0A201" w:rsidR="0056135E" w:rsidRPr="00BF0AC2" w:rsidRDefault="0056135E" w:rsidP="0056135E">
            <w:pPr>
              <w:rPr>
                <w:rFonts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the organization established and communicated the responsibilities and authorities for the effective operation of the IMS?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045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4BDDF55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32DB16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F940D9C" w14:textId="465719D6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50A6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651CBCA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B03FC45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DDAFA2F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5E" w:rsidRPr="00BF0AC2" w14:paraId="7CC01ADA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75A" w14:textId="77777777" w:rsidR="0056135E" w:rsidRPr="00261E8E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1E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13B" w14:textId="77777777" w:rsidR="0056135E" w:rsidRPr="00261E8E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1E8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Consultation and Participation of Workers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20C1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755558B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FBF8FA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A07BB47" w14:textId="430F5942" w:rsidR="0056135E" w:rsidRPr="0056135E" w:rsidRDefault="0056135E" w:rsidP="005613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276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8523CF6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5F97918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5A85A47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34442C" w:rsidRPr="00BF0AC2" w14:paraId="62513D36" w14:textId="77777777" w:rsidTr="00F31115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5EDD01" w14:textId="3A83CB41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eastAsia="Calibri" w:cstheme="minorHAnsi"/>
                <w:b/>
                <w:sz w:val="24"/>
                <w:szCs w:val="24"/>
              </w:rPr>
              <w:t>6</w:t>
            </w: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b/>
                <w:sz w:val="24"/>
                <w:szCs w:val="24"/>
              </w:rPr>
              <w:t>OHS Planning</w:t>
            </w:r>
          </w:p>
        </w:tc>
      </w:tr>
      <w:tr w:rsidR="0056135E" w:rsidRPr="00BF0AC2" w14:paraId="03D3AA6D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56D9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6.1.1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A80F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Have the risks and opportunities that need to be addressed to give assurance that the IMS can achieve its intended result(s) been established?</w:t>
            </w:r>
          </w:p>
          <w:p w14:paraId="18DC3080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93A6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923FB02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4613BF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23D6B73" w14:textId="66CE10B3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521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17D0A16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4F8D457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9500986" w14:textId="01455995" w:rsidR="0056135E" w:rsidRPr="00BF0AC2" w:rsidRDefault="0056135E" w:rsidP="0056135E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5C6E5D57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F0D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6.1.2.1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70EB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Is there a process to identify hazards that considers: how work is organised, social factors, leadership and culture; routine and non-routine activities; infrastructure, materials, equipment, substances and physical conditions in the workplace; construction and maintenance; past incidents and their causes; emergency situations; people (workers, contractors, visitors, others, those in the vicinity of the workplace and workers at other locations not under direct control of the organisation; design of work areas, equipment, </w:t>
            </w: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processes, and work organisation; situations in the vicinity of the workplace (under the control of the organisation and not under direct control); changes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6C7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lastRenderedPageBreak/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94ECD36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F235DF1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88AADE2" w14:textId="27BD4AE4" w:rsidR="0056135E" w:rsidRPr="00BF0AC2" w:rsidRDefault="0056135E" w:rsidP="0056135E">
            <w:pPr>
              <w:pStyle w:val="TableParagrap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E02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6BE9F38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9EEEE87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B3D67A8" w14:textId="23EED8E2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54E4A976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B896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6.1.2.2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E23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 the organisation established a process to assess OH&amp;S risks from identified hazards, considering current controls; determined risks to the OHS management system and defined its risk methodology and criteria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DD1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F5C6F6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8299569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C801EAC" w14:textId="1414760D" w:rsidR="0056135E" w:rsidRPr="00BF0AC2" w:rsidRDefault="0056135E" w:rsidP="005613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752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700EE4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9C0D19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A256AAC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6135E" w:rsidRPr="00BF0AC2" w14:paraId="0602CB62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845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6.1.2.3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5832" w14:textId="649BD42D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 the organisation established a process to assess OHS opportunities to enhance OHS performance (including consideration of: planned changes; adapting work, the way work is organised or the work environment to workers; opportunities to eliminate hazards) and opportunities fo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OHS system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F6E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F0FD799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DCEFBD3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80E2393" w14:textId="0010EADC" w:rsidR="0056135E" w:rsidRPr="00BF0AC2" w:rsidRDefault="0056135E" w:rsidP="005613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8F37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C46085A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5BB103A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17774BA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56135E" w:rsidRPr="00BF0AC2" w14:paraId="7EA89A26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24C7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6.1.3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648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Have compliance obligations relating to aspects been identified, updated and considered in planning, implementing and maintaining the IMS?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740B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A87A41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ADBA08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5F3F6A4" w14:textId="60E1F1BB" w:rsidR="0056135E" w:rsidRPr="000E5E66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8F6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59EBC05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59FCEF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B49CD4A" w14:textId="23C66B92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5E" w:rsidRPr="00BF0AC2" w14:paraId="7841EB65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A1C3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6.1.4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765B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Has the organization planned actions to address:</w:t>
            </w:r>
          </w:p>
          <w:p w14:paraId="71C94398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Risks and opportunities?</w:t>
            </w:r>
          </w:p>
          <w:p w14:paraId="51330372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Legal requirements?</w:t>
            </w:r>
          </w:p>
          <w:p w14:paraId="2D18158A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prepare and respond to emergency events?</w:t>
            </w:r>
          </w:p>
          <w:p w14:paraId="0FFF22E8" w14:textId="77777777" w:rsidR="0056135E" w:rsidRPr="00BD5754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DCCC18" w14:textId="3FB47115" w:rsidR="0056135E" w:rsidRPr="00BD5754" w:rsidRDefault="0056135E" w:rsidP="0056135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575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to integrate and implement actions in the OHS management systems and integrated them into the system processes and the effectiveness of actions taken?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A3C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FFB7B52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DB6C55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88E941A" w14:textId="357F61C0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30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05093A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3CACDB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0D48C0D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6135E" w:rsidRPr="00BF0AC2" w14:paraId="5B937DD9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BC1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4A8C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Have the objectives been established at relevant departmental and individual levels with the business (OHS, environment, quality)?</w:t>
            </w:r>
          </w:p>
          <w:p w14:paraId="1DE08F83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6524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2A5F7C9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41FAE7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AEE6656" w14:textId="607B3176" w:rsidR="0056135E" w:rsidRPr="00BF0AC2" w:rsidRDefault="0056135E" w:rsidP="0056135E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D9E7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3D868A1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32D01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6D8D19A" w14:textId="77777777" w:rsidR="0056135E" w:rsidRPr="00BF0AC2" w:rsidRDefault="0056135E" w:rsidP="0056135E">
            <w:pPr>
              <w:pStyle w:val="TableParagraph"/>
              <w:ind w:left="106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4442C" w:rsidRPr="00BF0AC2" w14:paraId="407C3C32" w14:textId="77777777" w:rsidTr="00F31115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A63641" w14:textId="47A520A1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eastAsia="Calibri" w:cstheme="minorHAnsi"/>
                <w:b/>
                <w:sz w:val="24"/>
                <w:szCs w:val="24"/>
              </w:rPr>
              <w:t>7</w:t>
            </w: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b/>
                <w:sz w:val="24"/>
                <w:szCs w:val="24"/>
              </w:rPr>
              <w:t>Support</w:t>
            </w:r>
          </w:p>
        </w:tc>
      </w:tr>
      <w:tr w:rsidR="0056135E" w:rsidRPr="00BF0AC2" w14:paraId="6D0C4A0F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98C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A40C" w14:textId="3FAEBB0E" w:rsidR="0056135E" w:rsidRPr="00BF0AC2" w:rsidRDefault="0056135E" w:rsidP="0056135E">
            <w:pPr>
              <w:rPr>
                <w:rFonts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Has the organization determined and provided the resources needed for the establishment, implementation, maintenance and continual improvement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OHS MS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48A7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6DD32D8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EF44BD5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3CA29B8" w14:textId="18E3F240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E92B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9B6F8B4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6FE25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DAF24A6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5E" w:rsidRPr="00BF0AC2" w14:paraId="28C13596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B81E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3F1F" w14:textId="3F060759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Has the organization ensured that those persons who can affect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OHS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 performance are competent on the basis of appropriate education, training, or experience or taken action to ensure that those persons can acquire the necessary competence? </w:t>
            </w:r>
          </w:p>
          <w:p w14:paraId="505A7B93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450A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28655DE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698F93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A43A539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BAF3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8BCB03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9C09003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02647FC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5E" w:rsidRPr="00BF0AC2" w14:paraId="26523811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92A3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3434" w14:textId="474523BB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Have persons working on behalf of </w:t>
            </w:r>
            <w:r w:rsidR="0083084E">
              <w:rPr>
                <w:rFonts w:asciiTheme="minorHAnsi" w:hAnsiTheme="minorHAnsi" w:cstheme="minorHAnsi"/>
                <w:sz w:val="20"/>
                <w:szCs w:val="20"/>
              </w:rPr>
              <w:t>the organisation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 been made aware of the management system, Policy commitments, objectives and their role i</w:t>
            </w:r>
            <w:bookmarkStart w:id="0" w:name="_GoBack"/>
            <w:bookmarkEnd w:id="0"/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n managing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OHS risks/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requirements?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830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78534C7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468798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886A98D" w14:textId="69E09C7C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8C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lastRenderedPageBreak/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9A7AA09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032E527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12346F7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35E" w:rsidRPr="00BF0AC2" w14:paraId="1256F838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A7FD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572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the organisation determined what, with whom, when and methods of internal/external communication? Are compliance obligations relating to communication considered?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714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DB70C15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257582D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2B61629" w14:textId="107BC4DC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61F4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D60C2E8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4221307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E7CF611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34DF4650" w14:textId="77777777" w:rsidTr="0092323F">
        <w:trPr>
          <w:trHeight w:val="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293A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6858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Has the documented information required by the standard and necessary for the effective implementation and operation of the IMS been established? </w:t>
            </w:r>
          </w:p>
          <w:p w14:paraId="58E6BC61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8F9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324AD0C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10F75C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6D5A8DC" w14:textId="01D1B1F6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697E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4CF4B2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54160D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DBBCEAB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442C" w:rsidRPr="00BF0AC2" w14:paraId="151E631D" w14:textId="77777777" w:rsidTr="00F31115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1E292C" w14:textId="50F67ED8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eastAsia="Calibri" w:cstheme="minorHAnsi"/>
                <w:b/>
                <w:sz w:val="24"/>
                <w:szCs w:val="24"/>
              </w:rPr>
              <w:t>8</w:t>
            </w: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b/>
                <w:sz w:val="24"/>
                <w:szCs w:val="24"/>
              </w:rPr>
              <w:t>Operations</w:t>
            </w:r>
          </w:p>
        </w:tc>
      </w:tr>
      <w:tr w:rsidR="0056135E" w:rsidRPr="00BF0AC2" w14:paraId="1CE2B84E" w14:textId="77777777" w:rsidTr="0092323F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B4DD" w14:textId="129D815C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3409" w14:textId="31DD0D25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Pr="00A97D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OHS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 control measures and criteria developed and implemented across relevant stages of the life cycle (including design)?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B0F8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87814AE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1BE10FC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90F2E7D" w14:textId="504B645C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48BE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A599FE2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B57591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6773692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5D7A5DD7" w14:textId="77777777" w:rsidTr="0092323F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248E" w14:textId="48CC1482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05D8" w14:textId="0DF16A1A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Eliminating hazards and reducing OH&amp;S risk – is the hierarchy of control considered in managing risk?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167C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8457727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BF8E06B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AED1A64" w14:textId="3E80008E" w:rsidR="0056135E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4D2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3899FD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1C4CA93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51A4FF7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28EA09B2" w14:textId="77777777" w:rsidTr="0092323F">
        <w:trPr>
          <w:trHeight w:val="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42AC" w14:textId="0C7756FE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7F5A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When changes are planned are they carried out in a controlled way and actions taken to mitigate any adverse effects?</w:t>
            </w:r>
          </w:p>
          <w:p w14:paraId="026B6263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0EC9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C32FDA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B38BD57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CAA1667" w14:textId="544CB4A5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0C2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F8C5743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5FC757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42A4E3A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7F6CC032" w14:textId="77777777" w:rsidTr="0092323F">
        <w:trPr>
          <w:trHeight w:val="2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59741" w14:textId="3499A81C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4F45C" w14:textId="741285A4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processes established to control procurement of products and services in order to ensure their conformity to OH&amp;S management system requirements?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EE8B8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B527CB6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6872FDA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D9F3367" w14:textId="2FDB06C1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3AC91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E3FFF82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839E6FB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F83F4CA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34442C" w:rsidRPr="00BF0AC2" w14:paraId="68BA6320" w14:textId="77777777" w:rsidTr="00A97D21">
        <w:trPr>
          <w:trHeight w:val="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63694" w14:textId="77777777" w:rsidR="0034442C" w:rsidRPr="00BF0AC2" w:rsidRDefault="0034442C" w:rsidP="00344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87B59" w14:textId="77777777" w:rsidR="0034442C" w:rsidRPr="00BF0AC2" w:rsidRDefault="0034442C" w:rsidP="00344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0C5EC" w14:textId="77777777" w:rsidR="0034442C" w:rsidRPr="00BF0AC2" w:rsidRDefault="0034442C" w:rsidP="0034442C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83D" w14:textId="77777777" w:rsidR="0034442C" w:rsidRPr="00BF0AC2" w:rsidRDefault="0034442C" w:rsidP="0034442C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155CE975" w14:textId="77777777" w:rsidTr="00637796">
        <w:trPr>
          <w:trHeight w:val="1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EC15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C908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Have potential emergency events been identified? Are response processes prepared and tested?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3EE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8699AB4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60B81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26F04DB" w14:textId="2CF3EBF7" w:rsidR="0056135E" w:rsidRPr="00BF0AC2" w:rsidRDefault="0056135E" w:rsidP="0056135E">
            <w:pPr>
              <w:ind w:lef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30BC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54E9455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29D5A45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81A344E" w14:textId="77777777" w:rsidR="0056135E" w:rsidRPr="00BF0AC2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442C" w:rsidRPr="00BF0AC2" w14:paraId="5C4C357B" w14:textId="77777777" w:rsidTr="00F31115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CD1930" w14:textId="36A4729A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eastAsia="Calibri" w:cstheme="minorHAnsi"/>
                <w:b/>
                <w:sz w:val="24"/>
                <w:szCs w:val="24"/>
              </w:rPr>
              <w:t>9</w:t>
            </w: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b/>
                <w:sz w:val="24"/>
                <w:szCs w:val="24"/>
              </w:rPr>
              <w:t>Performance Evaluation</w:t>
            </w:r>
          </w:p>
        </w:tc>
      </w:tr>
      <w:tr w:rsidR="0056135E" w:rsidRPr="00BF0AC2" w14:paraId="1997A8B5" w14:textId="77777777" w:rsidTr="0056135E">
        <w:trPr>
          <w:trHeight w:hRule="exact" w:val="1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955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9.1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644C" w14:textId="1A6BBB54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the organization determined • what needs to be monitored and measured and • the methods for monitoring, measurement, analysis and evaluation, to ensure valid results?</w:t>
            </w:r>
          </w:p>
          <w:p w14:paraId="6ADAB051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F8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98EA23B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F29E61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2AB053D" w14:textId="46528B60" w:rsidR="0056135E" w:rsidRPr="00BF0AC2" w:rsidRDefault="0056135E" w:rsidP="0056135E">
            <w:pPr>
              <w:pStyle w:val="TableParagraph"/>
              <w:ind w:left="13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D2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B740EF4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6E87AC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5F4F211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A97D21" w14:paraId="0C7D0CD0" w14:textId="77777777" w:rsidTr="0056135E">
        <w:trPr>
          <w:trHeight w:hRule="exact" w:val="1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E57E" w14:textId="77777777" w:rsidR="0056135E" w:rsidRPr="00A97D21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7D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0663" w14:textId="77777777" w:rsidR="0056135E" w:rsidRPr="00A97D21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7D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Is there a process for evaluating compliance with legal and other requirements?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31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907851E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08A866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5F5E838" w14:textId="04F651E6" w:rsidR="0056135E" w:rsidRPr="0056135E" w:rsidRDefault="0056135E" w:rsidP="005613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65F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5341EE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B9154A8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5DA8789" w14:textId="77777777" w:rsidR="0056135E" w:rsidRPr="00A97D21" w:rsidRDefault="0056135E" w:rsidP="0056135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6135E" w:rsidRPr="00BF0AC2" w14:paraId="0B92D838" w14:textId="77777777" w:rsidTr="0056135E">
        <w:trPr>
          <w:trHeight w:hRule="exact" w:val="12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362B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8B7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Have internal system and project audits been planned, scheduled and conducted?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F24D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CFD43EB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B23874E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D5766D4" w14:textId="6CC3A175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9BC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06A5A4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90D4C96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D10D59E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089D70CE" w14:textId="77777777" w:rsidTr="009D5351">
        <w:trPr>
          <w:trHeight w:hRule="exact" w:val="1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A1F5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9.1.3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1436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Have methods of evaluating performance data been identified and implemented?</w:t>
            </w:r>
          </w:p>
          <w:p w14:paraId="737D3E25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BE54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F248BEF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8192D7D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6C60C2D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9D6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535DDC6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E89D642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6CDE235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350E0248" w14:textId="77777777" w:rsidTr="0056135E">
        <w:trPr>
          <w:trHeight w:hRule="exact" w:val="1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4FF4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9.3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F133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Are management reviews planned and carried out? Do they cover inputs/outputs identified in the Standards?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A04E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F2BB3C5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061F5C9" w14:textId="6233FF0A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535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439D06F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91F0C11" w14:textId="7FCC0E00" w:rsidR="0056135E" w:rsidRPr="00BF0AC2" w:rsidRDefault="0056135E" w:rsidP="0056135E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9D5351" w:rsidRPr="00BF0AC2" w14:paraId="36515E0C" w14:textId="77777777" w:rsidTr="008A75EE">
        <w:trPr>
          <w:trHeight w:hRule="exact"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EDE9" w14:textId="77777777" w:rsidR="009D5351" w:rsidRPr="00BF0AC2" w:rsidRDefault="009D5351" w:rsidP="00344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B998" w14:textId="77777777" w:rsidR="009D5351" w:rsidRPr="00BF0AC2" w:rsidRDefault="009D5351" w:rsidP="00344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DAA" w14:textId="77777777" w:rsidR="009D5351" w:rsidRDefault="009D5351" w:rsidP="009D5351">
            <w:pPr>
              <w:pStyle w:val="ListParagraph"/>
              <w:ind w:left="2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D9B" w14:textId="77777777" w:rsidR="009D5351" w:rsidRPr="00BF0AC2" w:rsidRDefault="009D5351" w:rsidP="0034442C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34442C" w:rsidRPr="00BF0AC2" w14:paraId="613E5EAD" w14:textId="77777777" w:rsidTr="00F31115">
        <w:trPr>
          <w:trHeight w:val="57"/>
        </w:trPr>
        <w:tc>
          <w:tcPr>
            <w:tcW w:w="1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C90DD" w14:textId="1CA3A880" w:rsidR="0034442C" w:rsidRPr="0034442C" w:rsidRDefault="0034442C" w:rsidP="0034442C">
            <w:pPr>
              <w:pStyle w:val="TableParagraph"/>
              <w:ind w:left="1"/>
              <w:rPr>
                <w:rFonts w:eastAsia="Calibri" w:cstheme="minorHAnsi"/>
                <w:b/>
                <w:sz w:val="24"/>
                <w:szCs w:val="24"/>
              </w:rPr>
            </w:pP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eastAsia="Calibri" w:cstheme="minorHAnsi"/>
                <w:b/>
                <w:sz w:val="24"/>
                <w:szCs w:val="24"/>
              </w:rPr>
              <w:t>10</w:t>
            </w:r>
            <w:r w:rsidRPr="0034442C">
              <w:rPr>
                <w:rFonts w:eastAsia="Calibr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b/>
                <w:sz w:val="24"/>
                <w:szCs w:val="24"/>
              </w:rPr>
              <w:t>Improvement</w:t>
            </w:r>
          </w:p>
        </w:tc>
      </w:tr>
      <w:tr w:rsidR="0056135E" w:rsidRPr="00BF0AC2" w14:paraId="14CCBBAF" w14:textId="77777777" w:rsidTr="0092323F">
        <w:trPr>
          <w:trHeight w:hRule="exact" w:val="1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59AC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0AAE" w14:textId="01DB495C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 xml:space="preserve">Has the organization determined and selected opportunities for improvement and implemented the necessary actions improve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OHS </w:t>
            </w: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performance?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1C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B46817F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AE2E1AB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797832F" w14:textId="6EAEC1A5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2C3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8C05447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56E2825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54009B2" w14:textId="77777777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6BB0E735" w14:textId="77777777" w:rsidTr="0056135E">
        <w:trPr>
          <w:trHeight w:hRule="exact" w:val="1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EFA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CB5A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the organization appropriate processes for managing nonconformities and the related corrective actions?</w:t>
            </w:r>
          </w:p>
          <w:p w14:paraId="49EC0DD1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F30C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4BA70ADF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58DBFC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4426941" w14:textId="327A98F0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DA0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8D4C5E4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B8A075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4BCF838" w14:textId="39969765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  <w:tr w:rsidR="0056135E" w:rsidRPr="00BF0AC2" w14:paraId="209D97F4" w14:textId="77777777" w:rsidTr="0092323F">
        <w:trPr>
          <w:trHeight w:hRule="exact" w:val="1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D47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10.3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E4E8" w14:textId="77777777" w:rsidR="0056135E" w:rsidRPr="00BF0AC2" w:rsidRDefault="0056135E" w:rsidP="005613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AC2">
              <w:rPr>
                <w:rFonts w:asciiTheme="minorHAnsi" w:hAnsiTheme="minorHAnsi" w:cstheme="minorHAnsi"/>
                <w:sz w:val="20"/>
                <w:szCs w:val="20"/>
              </w:rPr>
              <w:t>Has the organization decided on how it will address the requirement to continually improve the suitability, adequacy, and effectiveness of the IMS?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8C0F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7DBE840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69C010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 xml:space="preserve"> Required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6E5A8B8" w14:textId="25E7BAEB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CD01" w14:textId="77777777" w:rsidR="0056135E" w:rsidRPr="003A66D8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A66D8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In Place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2B3A52C4" w14:textId="77777777" w:rsidR="0056135E" w:rsidRDefault="0056135E" w:rsidP="005613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785F3E7" w14:textId="77777777" w:rsidR="0056135E" w:rsidRPr="0034442C" w:rsidRDefault="0056135E" w:rsidP="0056135E">
            <w:pPr>
              <w:pStyle w:val="TableParagrap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4442C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Action</w:t>
            </w:r>
            <w:r w:rsidRPr="0034442C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38697FA" w14:textId="242D7B74" w:rsidR="0056135E" w:rsidRPr="00BF0AC2" w:rsidRDefault="0056135E" w:rsidP="0056135E">
            <w:pPr>
              <w:pStyle w:val="TableParagraph"/>
              <w:ind w:left="106"/>
              <w:rPr>
                <w:rFonts w:cstheme="minorHAnsi"/>
                <w:sz w:val="20"/>
                <w:szCs w:val="20"/>
              </w:rPr>
            </w:pPr>
          </w:p>
        </w:tc>
      </w:tr>
    </w:tbl>
    <w:p w14:paraId="58DB2615" w14:textId="77777777" w:rsidR="00BD1DC1" w:rsidRPr="00BF0AC2" w:rsidRDefault="00BD1DC1" w:rsidP="00BD1DC1">
      <w:pPr>
        <w:rPr>
          <w:rFonts w:asciiTheme="minorHAnsi" w:hAnsiTheme="minorHAnsi" w:cstheme="minorHAnsi"/>
          <w:sz w:val="20"/>
          <w:szCs w:val="20"/>
        </w:rPr>
      </w:pPr>
    </w:p>
    <w:p w14:paraId="0B5FE2E6" w14:textId="77777777" w:rsidR="00FC2317" w:rsidRDefault="00FC2317">
      <w:pPr>
        <w:rPr>
          <w:rFonts w:asciiTheme="minorHAnsi" w:hAnsiTheme="minorHAnsi" w:cstheme="minorHAnsi"/>
          <w:sz w:val="20"/>
          <w:szCs w:val="20"/>
        </w:rPr>
        <w:sectPr w:rsidR="00FC2317" w:rsidSect="006B6C67">
          <w:pgSz w:w="20160" w:h="12240" w:orient="landscape" w:code="5"/>
          <w:pgMar w:top="656" w:right="1440" w:bottom="1440" w:left="1440" w:header="708" w:footer="708" w:gutter="0"/>
          <w:cols w:space="708"/>
          <w:docGrid w:linePitch="360"/>
        </w:sectPr>
      </w:pPr>
    </w:p>
    <w:p w14:paraId="6A50E78A" w14:textId="01CF5EA2" w:rsidR="00F91507" w:rsidRDefault="00FC2317" w:rsidP="00FC2317">
      <w:pPr>
        <w:pStyle w:val="Heading1"/>
        <w:ind w:left="-709"/>
      </w:pPr>
      <w:r>
        <w:lastRenderedPageBreak/>
        <w:t>Appendix A – Summary Documented Information Required by ISO 45001:2018</w:t>
      </w:r>
    </w:p>
    <w:p w14:paraId="0B6E2966" w14:textId="1C36D88B" w:rsidR="00FC2317" w:rsidRDefault="00FC231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5776"/>
        <w:gridCol w:w="5281"/>
      </w:tblGrid>
      <w:tr w:rsidR="00FC2317" w:rsidRPr="00FC2317" w14:paraId="0962F3B8" w14:textId="77777777" w:rsidTr="00FC2317">
        <w:tc>
          <w:tcPr>
            <w:tcW w:w="5776" w:type="dxa"/>
            <w:shd w:val="clear" w:color="auto" w:fill="3FB0D5"/>
          </w:tcPr>
          <w:p w14:paraId="40558219" w14:textId="77777777" w:rsidR="00FC2317" w:rsidRPr="00FC2317" w:rsidRDefault="00FC2317" w:rsidP="00F31115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FC231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“Maintain As” or “Maintained” (formerly “document”)</w:t>
            </w:r>
          </w:p>
        </w:tc>
        <w:tc>
          <w:tcPr>
            <w:tcW w:w="5281" w:type="dxa"/>
            <w:shd w:val="clear" w:color="auto" w:fill="3FB0D5"/>
          </w:tcPr>
          <w:p w14:paraId="2B6CD638" w14:textId="77777777" w:rsidR="00FC2317" w:rsidRPr="00FC2317" w:rsidRDefault="00FC2317" w:rsidP="00F31115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FC231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“Retain As” (formerly “record”)</w:t>
            </w:r>
          </w:p>
        </w:tc>
      </w:tr>
      <w:tr w:rsidR="00FC2317" w:rsidRPr="00FC2317" w14:paraId="3159E411" w14:textId="77777777" w:rsidTr="00FC2317">
        <w:tc>
          <w:tcPr>
            <w:tcW w:w="5776" w:type="dxa"/>
          </w:tcPr>
          <w:p w14:paraId="342C975C" w14:textId="77777777" w:rsidR="00FC2317" w:rsidRPr="00FC2317" w:rsidRDefault="00FC2317" w:rsidP="00FC2317">
            <w:pPr>
              <w:pStyle w:val="ListParagraph"/>
              <w:numPr>
                <w:ilvl w:val="0"/>
                <w:numId w:val="12"/>
              </w:numPr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4.3 Scope</w:t>
            </w:r>
          </w:p>
          <w:p w14:paraId="2DB78322" w14:textId="77777777" w:rsidR="00FC2317" w:rsidRPr="00FC2317" w:rsidRDefault="00FC2317" w:rsidP="00FC2317">
            <w:pPr>
              <w:pStyle w:val="ListParagraph"/>
              <w:numPr>
                <w:ilvl w:val="0"/>
                <w:numId w:val="12"/>
              </w:numPr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5.2 OH&amp;S policy</w:t>
            </w:r>
          </w:p>
          <w:p w14:paraId="742E799A" w14:textId="77777777" w:rsidR="00FC2317" w:rsidRPr="00FC2317" w:rsidRDefault="00FC2317" w:rsidP="00FC2317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5.3 Organizational roles, responsibilities, accountabilities and authorities</w:t>
            </w:r>
          </w:p>
          <w:p w14:paraId="35FC0960" w14:textId="77777777" w:rsidR="00FC2317" w:rsidRPr="00FC2317" w:rsidRDefault="00FC2317" w:rsidP="00FC2317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6.1.1 Actions to address risks and opportunities – General</w:t>
            </w:r>
          </w:p>
          <w:p w14:paraId="2100683E" w14:textId="77777777" w:rsidR="00FC2317" w:rsidRPr="00FC2317" w:rsidRDefault="00FC2317" w:rsidP="00FC2317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6.1.2.2 Assessment of OH&amp;S risks and other risks to the OH&amp;S management system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27ABC720" w14:textId="77777777" w:rsidR="00FC2317" w:rsidRPr="00FC2317" w:rsidRDefault="00FC2317" w:rsidP="00FC2317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6.1.3 Determination of legal requirements and other requirements </w:t>
            </w:r>
          </w:p>
          <w:p w14:paraId="0402DDBC" w14:textId="77777777" w:rsidR="00FC2317" w:rsidRPr="00FC2317" w:rsidRDefault="00FC2317" w:rsidP="00FC2317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6.2.2 Planning to achieve OH&amp;S objectives 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7D01373B" w14:textId="77777777" w:rsidR="00FC2317" w:rsidRPr="00FC2317" w:rsidRDefault="00FC2317" w:rsidP="00FC2317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7.5.1 General (</w:t>
            </w:r>
            <w:r w:rsidRPr="00FC2317">
              <w:rPr>
                <w:rFonts w:asciiTheme="minorHAnsi" w:hAnsiTheme="minorHAnsi" w:cstheme="minorHAnsi"/>
                <w:color w:val="000000" w:themeColor="text1"/>
                <w:lang w:val="en-US"/>
              </w:rPr>
              <w:t>documented information determined by the organization as being necessary for the effectiveness of the OH&amp;S management system.)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32B0CCA5" w14:textId="77777777" w:rsidR="00FC2317" w:rsidRPr="00FC2317" w:rsidRDefault="00FC2317" w:rsidP="00FC2317">
            <w:pPr>
              <w:pStyle w:val="ListParagraph"/>
              <w:numPr>
                <w:ilvl w:val="0"/>
                <w:numId w:val="12"/>
              </w:numPr>
              <w:spacing w:after="60"/>
              <w:ind w:left="318" w:hanging="283"/>
              <w:rPr>
                <w:rFonts w:asciiTheme="minorHAnsi" w:hAnsiTheme="minorHAnsi" w:cstheme="minorHAnsi"/>
                <w:color w:val="000000" w:themeColor="text1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8.1 Operational planning and control</w:t>
            </w:r>
          </w:p>
          <w:p w14:paraId="43A7934F" w14:textId="77777777" w:rsidR="00FC2317" w:rsidRPr="00FC2317" w:rsidRDefault="00FC2317" w:rsidP="00FC2317">
            <w:pPr>
              <w:pStyle w:val="ListParagraph"/>
              <w:numPr>
                <w:ilvl w:val="0"/>
                <w:numId w:val="12"/>
              </w:numPr>
              <w:spacing w:after="60"/>
              <w:ind w:left="318" w:hanging="283"/>
              <w:rPr>
                <w:rFonts w:asciiTheme="minorHAnsi" w:hAnsiTheme="minorHAnsi" w:cstheme="minorHAnsi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8.6 Emergency preparedness and response</w:t>
            </w:r>
          </w:p>
          <w:p w14:paraId="0ECB0E7A" w14:textId="77777777" w:rsidR="00FC2317" w:rsidRPr="00FC2317" w:rsidRDefault="00FC2317" w:rsidP="00FC2317">
            <w:pPr>
              <w:pStyle w:val="ListParagraph"/>
              <w:numPr>
                <w:ilvl w:val="0"/>
                <w:numId w:val="12"/>
              </w:numPr>
              <w:spacing w:after="60"/>
              <w:ind w:left="318" w:hanging="283"/>
              <w:rPr>
                <w:rFonts w:asciiTheme="minorHAnsi" w:hAnsiTheme="minorHAnsi" w:cstheme="minorHAnsi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10.3 Continual improvement</w:t>
            </w:r>
          </w:p>
          <w:p w14:paraId="1A3498C3" w14:textId="59EF62A2" w:rsidR="00FC2317" w:rsidRPr="00FC2317" w:rsidRDefault="00FC2317" w:rsidP="00F31115">
            <w:pPr>
              <w:rPr>
                <w:rFonts w:asciiTheme="minorHAnsi" w:hAnsiTheme="minorHAnsi" w:cstheme="minorHAnsi"/>
              </w:rPr>
            </w:pPr>
          </w:p>
          <w:p w14:paraId="6ED540B6" w14:textId="77777777" w:rsidR="00FC2317" w:rsidRPr="00FC2317" w:rsidRDefault="00FC2317" w:rsidP="00F31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1" w:type="dxa"/>
          </w:tcPr>
          <w:p w14:paraId="06207816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6.1.2.2 Assessment of OH&amp;S risks and other risks to the OH&amp;S management system</w:t>
            </w:r>
          </w:p>
          <w:p w14:paraId="26ABA21C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6.1.3 Determination of legal requirements and other requirements </w:t>
            </w:r>
          </w:p>
          <w:p w14:paraId="2176D5E7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6.2.2 Planning to achieve OH&amp;S objectives 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66F8CE91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7.2 Competence 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72196DBC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7.4.1 Communication - General</w:t>
            </w:r>
          </w:p>
          <w:p w14:paraId="5493B610" w14:textId="77777777" w:rsidR="00FC2317" w:rsidRPr="00FC2317" w:rsidRDefault="00FC2317" w:rsidP="00FC2317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8.1 Operational planning and control</w:t>
            </w:r>
          </w:p>
          <w:p w14:paraId="41BC6BE3" w14:textId="77777777" w:rsidR="00FC2317" w:rsidRPr="00FC2317" w:rsidRDefault="00FC2317" w:rsidP="00FC2317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8.6 Emergency preparedness and response</w:t>
            </w:r>
          </w:p>
          <w:p w14:paraId="7483C8C4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9.1 Monitoring, measurement, analysis and evaluation -  General 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7EB9F738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9.1.2 Evaluation of compliance </w:t>
            </w:r>
          </w:p>
          <w:p w14:paraId="3F4E0E76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9.2.2 Internal audit process 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  <w:p w14:paraId="308DAD18" w14:textId="77777777" w:rsidR="00FC2317" w:rsidRPr="00FC2317" w:rsidRDefault="00FC2317" w:rsidP="00FC2317">
            <w:pPr>
              <w:pStyle w:val="ListParagraph"/>
              <w:numPr>
                <w:ilvl w:val="0"/>
                <w:numId w:val="13"/>
              </w:numPr>
              <w:tabs>
                <w:tab w:val="left" w:pos="500"/>
              </w:tabs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FC2317">
              <w:rPr>
                <w:rFonts w:asciiTheme="minorHAnsi" w:hAnsiTheme="minorHAnsi" w:cstheme="minorHAnsi"/>
                <w:color w:val="000000" w:themeColor="text1"/>
              </w:rPr>
              <w:t>9.3 Management Reviews</w:t>
            </w:r>
          </w:p>
          <w:p w14:paraId="46363E98" w14:textId="77777777" w:rsidR="00FC2317" w:rsidRPr="00FC2317" w:rsidRDefault="00FC2317" w:rsidP="00FC231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10.2 Incident, nonconformity and corrective action </w:t>
            </w:r>
          </w:p>
          <w:p w14:paraId="2A0C34FF" w14:textId="77777777" w:rsidR="00FC2317" w:rsidRPr="00FC2317" w:rsidRDefault="00FC2317" w:rsidP="00FC2317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after="60"/>
              <w:ind w:left="359" w:hanging="284"/>
              <w:rPr>
                <w:rFonts w:asciiTheme="minorHAnsi" w:hAnsiTheme="minorHAnsi" w:cstheme="minorHAnsi"/>
              </w:rPr>
            </w:pPr>
            <w:r w:rsidRPr="00FC231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10.3 Continual improvement</w:t>
            </w:r>
            <w:r w:rsidRPr="00FC2317">
              <w:rPr>
                <w:rFonts w:ascii="MS Gothic" w:eastAsia="MS Gothic" w:hAnsi="MS Gothic" w:cs="MS Gothic" w:hint="eastAsia"/>
                <w:color w:val="000000" w:themeColor="text1"/>
                <w:lang w:val="en-US"/>
              </w:rPr>
              <w:t> </w:t>
            </w:r>
          </w:p>
        </w:tc>
      </w:tr>
    </w:tbl>
    <w:p w14:paraId="3B6908EC" w14:textId="4A0599DB" w:rsidR="00FC2317" w:rsidRPr="00BF0AC2" w:rsidRDefault="00FC2317" w:rsidP="0056135E">
      <w:pPr>
        <w:rPr>
          <w:rFonts w:asciiTheme="minorHAnsi" w:hAnsiTheme="minorHAnsi" w:cstheme="minorHAnsi"/>
          <w:sz w:val="20"/>
          <w:szCs w:val="20"/>
        </w:rPr>
      </w:pPr>
    </w:p>
    <w:sectPr w:rsidR="00FC2317" w:rsidRPr="00BF0AC2" w:rsidSect="00FC2317">
      <w:pgSz w:w="12240" w:h="20160" w:code="5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F592" w14:textId="77777777" w:rsidR="002F2724" w:rsidRDefault="002F2724" w:rsidP="00F31115">
      <w:r>
        <w:separator/>
      </w:r>
    </w:p>
  </w:endnote>
  <w:endnote w:type="continuationSeparator" w:id="0">
    <w:p w14:paraId="3029987C" w14:textId="77777777" w:rsidR="002F2724" w:rsidRDefault="002F2724" w:rsidP="00F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A146" w14:textId="77777777" w:rsidR="00F31115" w:rsidRDefault="00F31115" w:rsidP="00F31115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>Canberra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7131" w14:textId="41E4CF74" w:rsidR="00F31115" w:rsidRPr="009B5B8A" w:rsidRDefault="00F31115">
    <w:pPr>
      <w:pStyle w:val="Footer"/>
      <w:rPr>
        <w:lang w:val="en-AU"/>
      </w:rPr>
    </w:pPr>
    <w:r>
      <w:rPr>
        <w:rStyle w:val="PageNumber"/>
        <w:rFonts w:ascii="Arial" w:hAnsi="Arial" w:cs="Arial"/>
        <w:sz w:val="18"/>
        <w:szCs w:val="18"/>
        <w:lang w:val="en-AU"/>
      </w:rPr>
      <w:t>Gap Analysis: ISO 45001:2018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1589" w14:textId="77777777" w:rsidR="002F2724" w:rsidRDefault="002F2724" w:rsidP="00F31115">
      <w:r>
        <w:separator/>
      </w:r>
    </w:p>
  </w:footnote>
  <w:footnote w:type="continuationSeparator" w:id="0">
    <w:p w14:paraId="73A0A2B7" w14:textId="77777777" w:rsidR="002F2724" w:rsidRDefault="002F2724" w:rsidP="00F3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142" w14:textId="7FFFA1F8" w:rsidR="00F31115" w:rsidRDefault="00F31115">
    <w:pPr>
      <w:pStyle w:val="Header"/>
    </w:pPr>
  </w:p>
  <w:p w14:paraId="7C677276" w14:textId="77777777" w:rsidR="00F31115" w:rsidRDefault="00F3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C87"/>
    <w:multiLevelType w:val="hybridMultilevel"/>
    <w:tmpl w:val="BF5E15D8"/>
    <w:lvl w:ilvl="0" w:tplc="C0D8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209F"/>
    <w:multiLevelType w:val="hybridMultilevel"/>
    <w:tmpl w:val="CB38A43E"/>
    <w:lvl w:ilvl="0" w:tplc="C0D8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73F"/>
    <w:multiLevelType w:val="hybridMultilevel"/>
    <w:tmpl w:val="BA2E201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4B605AA"/>
    <w:multiLevelType w:val="multilevel"/>
    <w:tmpl w:val="008E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26E26"/>
    <w:multiLevelType w:val="hybridMultilevel"/>
    <w:tmpl w:val="8BEC5A64"/>
    <w:lvl w:ilvl="0" w:tplc="C0D8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2B0932B0"/>
    <w:multiLevelType w:val="hybridMultilevel"/>
    <w:tmpl w:val="B2920F34"/>
    <w:lvl w:ilvl="0" w:tplc="C0D88EA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2FD25062"/>
    <w:multiLevelType w:val="hybridMultilevel"/>
    <w:tmpl w:val="F4A0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15D55"/>
    <w:multiLevelType w:val="hybridMultilevel"/>
    <w:tmpl w:val="9B04774C"/>
    <w:lvl w:ilvl="0" w:tplc="032AA4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C839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C3597"/>
    <w:multiLevelType w:val="hybridMultilevel"/>
    <w:tmpl w:val="22BC023C"/>
    <w:lvl w:ilvl="0" w:tplc="C0D88EA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4B4851B7"/>
    <w:multiLevelType w:val="hybridMultilevel"/>
    <w:tmpl w:val="9118DBEA"/>
    <w:lvl w:ilvl="0" w:tplc="032AA4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C839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6013"/>
    <w:multiLevelType w:val="hybridMultilevel"/>
    <w:tmpl w:val="F446B2E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4D770304"/>
    <w:multiLevelType w:val="multilevel"/>
    <w:tmpl w:val="D86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4B7758"/>
    <w:multiLevelType w:val="hybridMultilevel"/>
    <w:tmpl w:val="6EC60C40"/>
    <w:lvl w:ilvl="0" w:tplc="C0D8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F6701"/>
    <w:multiLevelType w:val="hybridMultilevel"/>
    <w:tmpl w:val="CF5E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6034"/>
    <w:multiLevelType w:val="hybridMultilevel"/>
    <w:tmpl w:val="D48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C6023"/>
    <w:multiLevelType w:val="hybridMultilevel"/>
    <w:tmpl w:val="6A3E5DAE"/>
    <w:lvl w:ilvl="0" w:tplc="C0D8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B3700"/>
    <w:multiLevelType w:val="hybridMultilevel"/>
    <w:tmpl w:val="7C1830DE"/>
    <w:lvl w:ilvl="0" w:tplc="C0D88EA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7" w15:restartNumberingAfterBreak="0">
    <w:nsid w:val="7F3A311E"/>
    <w:multiLevelType w:val="hybridMultilevel"/>
    <w:tmpl w:val="07627A9C"/>
    <w:lvl w:ilvl="0" w:tplc="69ECF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5C54"/>
    <w:multiLevelType w:val="hybridMultilevel"/>
    <w:tmpl w:val="6C2A1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0"/>
  </w:num>
  <w:num w:numId="9">
    <w:abstractNumId w:val="11"/>
  </w:num>
  <w:num w:numId="10">
    <w:abstractNumId w:val="17"/>
  </w:num>
  <w:num w:numId="11">
    <w:abstractNumId w:val="4"/>
  </w:num>
  <w:num w:numId="12">
    <w:abstractNumId w:val="9"/>
  </w:num>
  <w:num w:numId="13">
    <w:abstractNumId w:val="7"/>
  </w:num>
  <w:num w:numId="14">
    <w:abstractNumId w:val="18"/>
  </w:num>
  <w:num w:numId="15">
    <w:abstractNumId w:val="8"/>
  </w:num>
  <w:num w:numId="16">
    <w:abstractNumId w:val="5"/>
  </w:num>
  <w:num w:numId="17">
    <w:abstractNumId w:val="1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6"/>
    <w:rsid w:val="00016325"/>
    <w:rsid w:val="00016DCF"/>
    <w:rsid w:val="00030DCF"/>
    <w:rsid w:val="000906E2"/>
    <w:rsid w:val="000E5E66"/>
    <w:rsid w:val="000E707A"/>
    <w:rsid w:val="0013013C"/>
    <w:rsid w:val="00135CA3"/>
    <w:rsid w:val="001405CC"/>
    <w:rsid w:val="001667B9"/>
    <w:rsid w:val="001818C5"/>
    <w:rsid w:val="001B22A3"/>
    <w:rsid w:val="001C5E14"/>
    <w:rsid w:val="001F4E91"/>
    <w:rsid w:val="002307EF"/>
    <w:rsid w:val="00251287"/>
    <w:rsid w:val="00251E2F"/>
    <w:rsid w:val="0025761A"/>
    <w:rsid w:val="00261E8E"/>
    <w:rsid w:val="002847F3"/>
    <w:rsid w:val="002851A0"/>
    <w:rsid w:val="00291730"/>
    <w:rsid w:val="0029716D"/>
    <w:rsid w:val="002A5861"/>
    <w:rsid w:val="002B0DF7"/>
    <w:rsid w:val="002B5719"/>
    <w:rsid w:val="002F01D2"/>
    <w:rsid w:val="002F2724"/>
    <w:rsid w:val="00330776"/>
    <w:rsid w:val="0034442C"/>
    <w:rsid w:val="0037666F"/>
    <w:rsid w:val="003A40D0"/>
    <w:rsid w:val="003A66D8"/>
    <w:rsid w:val="003B020B"/>
    <w:rsid w:val="003B618A"/>
    <w:rsid w:val="003E37F9"/>
    <w:rsid w:val="004117EA"/>
    <w:rsid w:val="00420D20"/>
    <w:rsid w:val="0044061E"/>
    <w:rsid w:val="00482365"/>
    <w:rsid w:val="004845F1"/>
    <w:rsid w:val="004866A5"/>
    <w:rsid w:val="004B7180"/>
    <w:rsid w:val="0056135E"/>
    <w:rsid w:val="00563205"/>
    <w:rsid w:val="00590EFE"/>
    <w:rsid w:val="005A6768"/>
    <w:rsid w:val="005C36BB"/>
    <w:rsid w:val="00637796"/>
    <w:rsid w:val="00645217"/>
    <w:rsid w:val="00660BC2"/>
    <w:rsid w:val="006640DF"/>
    <w:rsid w:val="006658B1"/>
    <w:rsid w:val="00694989"/>
    <w:rsid w:val="0069677F"/>
    <w:rsid w:val="006A3812"/>
    <w:rsid w:val="006B6C67"/>
    <w:rsid w:val="0071440C"/>
    <w:rsid w:val="007418C4"/>
    <w:rsid w:val="0074264C"/>
    <w:rsid w:val="00754C6B"/>
    <w:rsid w:val="00766CA7"/>
    <w:rsid w:val="00782163"/>
    <w:rsid w:val="007A1A6F"/>
    <w:rsid w:val="007B2F81"/>
    <w:rsid w:val="007C27B4"/>
    <w:rsid w:val="007E797E"/>
    <w:rsid w:val="007F3CEE"/>
    <w:rsid w:val="0082270E"/>
    <w:rsid w:val="0083084E"/>
    <w:rsid w:val="0083291C"/>
    <w:rsid w:val="008416A8"/>
    <w:rsid w:val="0085345D"/>
    <w:rsid w:val="0088006A"/>
    <w:rsid w:val="008A75EE"/>
    <w:rsid w:val="008B1B84"/>
    <w:rsid w:val="008C65FE"/>
    <w:rsid w:val="008E67C9"/>
    <w:rsid w:val="008E6CDF"/>
    <w:rsid w:val="0092323F"/>
    <w:rsid w:val="00931CF1"/>
    <w:rsid w:val="00933469"/>
    <w:rsid w:val="009334E2"/>
    <w:rsid w:val="00943AA1"/>
    <w:rsid w:val="009630D9"/>
    <w:rsid w:val="00976040"/>
    <w:rsid w:val="009935D6"/>
    <w:rsid w:val="009D5351"/>
    <w:rsid w:val="00A037B4"/>
    <w:rsid w:val="00A24DCF"/>
    <w:rsid w:val="00A372F0"/>
    <w:rsid w:val="00A37793"/>
    <w:rsid w:val="00A37ED7"/>
    <w:rsid w:val="00A40B8C"/>
    <w:rsid w:val="00A64BBB"/>
    <w:rsid w:val="00A76F66"/>
    <w:rsid w:val="00A85852"/>
    <w:rsid w:val="00A93699"/>
    <w:rsid w:val="00A97D21"/>
    <w:rsid w:val="00AE1B6C"/>
    <w:rsid w:val="00AF3216"/>
    <w:rsid w:val="00AF6FBC"/>
    <w:rsid w:val="00B0298E"/>
    <w:rsid w:val="00B07D83"/>
    <w:rsid w:val="00B16BD2"/>
    <w:rsid w:val="00B63661"/>
    <w:rsid w:val="00B6415B"/>
    <w:rsid w:val="00B75CD7"/>
    <w:rsid w:val="00B83834"/>
    <w:rsid w:val="00B87121"/>
    <w:rsid w:val="00B9132B"/>
    <w:rsid w:val="00BD1DC1"/>
    <w:rsid w:val="00BD5754"/>
    <w:rsid w:val="00BE3CA3"/>
    <w:rsid w:val="00BF0AC2"/>
    <w:rsid w:val="00C0262D"/>
    <w:rsid w:val="00C06965"/>
    <w:rsid w:val="00C30DCA"/>
    <w:rsid w:val="00C32019"/>
    <w:rsid w:val="00C50119"/>
    <w:rsid w:val="00C93DE3"/>
    <w:rsid w:val="00CA1C23"/>
    <w:rsid w:val="00CA74CD"/>
    <w:rsid w:val="00CB5FE8"/>
    <w:rsid w:val="00CC45FB"/>
    <w:rsid w:val="00CD69AC"/>
    <w:rsid w:val="00D07AB9"/>
    <w:rsid w:val="00D3406C"/>
    <w:rsid w:val="00D901E6"/>
    <w:rsid w:val="00D90231"/>
    <w:rsid w:val="00DC1B08"/>
    <w:rsid w:val="00DD297B"/>
    <w:rsid w:val="00E00376"/>
    <w:rsid w:val="00E14362"/>
    <w:rsid w:val="00E332A0"/>
    <w:rsid w:val="00E375E6"/>
    <w:rsid w:val="00E410BA"/>
    <w:rsid w:val="00E54D82"/>
    <w:rsid w:val="00E56AED"/>
    <w:rsid w:val="00E6690E"/>
    <w:rsid w:val="00E72C0B"/>
    <w:rsid w:val="00EE2331"/>
    <w:rsid w:val="00EE4CB1"/>
    <w:rsid w:val="00F00E28"/>
    <w:rsid w:val="00F03908"/>
    <w:rsid w:val="00F16E32"/>
    <w:rsid w:val="00F31115"/>
    <w:rsid w:val="00F513FE"/>
    <w:rsid w:val="00F6400F"/>
    <w:rsid w:val="00F65C9E"/>
    <w:rsid w:val="00F91507"/>
    <w:rsid w:val="00FB22C8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38C0"/>
  <w15:chartTrackingRefBased/>
  <w15:docId w15:val="{558012E9-E8A7-304F-B4D7-0F4BDBA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0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E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0776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A037B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6B6C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444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1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-548728807429665092msolistparagraph">
    <w:name w:val="m_-548728807429665092msolistparagraph"/>
    <w:basedOn w:val="Normal"/>
    <w:rsid w:val="00261E8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C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111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rsid w:val="00F31115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115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1115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F31115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F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906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352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567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233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971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69216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760">
          <w:marLeft w:val="7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F60261-9FC4-3942-84C2-A2152673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2019-04-24T06:26:00Z</dcterms:created>
  <dcterms:modified xsi:type="dcterms:W3CDTF">2019-04-24T06:26:00Z</dcterms:modified>
</cp:coreProperties>
</file>